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ZK1 2021 31 vom 30. Mai 2022</w:t>
      </w:r>
    </w:p>
    <w:p>
      <w:r>
        <w:t>SZ Gerichte, 2022-05-30, DE</w:t>
      </w:r>
    </w:p>
    <w:p>
      <w:r>
        <w:rPr>
          <w:b/>
        </w:rPr>
        <w:t xml:space="preserve">Quelle: </w:t>
      </w:r>
      <w:r>
        <w:t>https://mcp.opencaselaw.ch/entscheid/sz_gerichte_ZK1 2021 31</w:t>
      </w:r>
    </w:p>
    <w:p>
      <w:r>
        <w:t>FR: SZ_GERICHTE ZK1 2021 31 du 30 mai 2022</w:t>
      </w:r>
    </w:p>
    <w:p>
      <w:r>
        <w:t>IT: SZ_GERICHTE ZK1 2021 31 del 30 maggio 2022</w:t>
      </w:r>
    </w:p>
    <w:p>
      <w:pPr>
        <w:pStyle w:val="Heading2"/>
      </w:pPr>
      <w:r>
        <w:t>Regeste</w:t>
      </w:r>
    </w:p>
    <w:p>
      <w:r>
        <w:t>Forderung aus Betrieb eines Fahrzeugs (Art. 58 SVG) | Haftpflichtrecht; Art. 41 ff. OR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Zusammenfassend liegt keine haftungsauslösende Betriebssituation im Sinne von Art. 58 Abs. 1 SVG vor. Mangels eines die Passivlegitimation der Beklagten begründenden Klagefundaments ist die Berufung, soweit auf sie einzutreten ist (vgl. oben E. 2), ohne weiter auf die Rügen der Berufungsführe- rin bezüglich unrichtiger Feststellung des Sachverhalts und der Beweislosig- keit einzugehen, gutzuheissen und die Klage abzuweisen. Ausgangsgemäss trägt der unterliegende Kläger die Prozesskosten vor beiden Instanzen (Art. 106 Abs. 1 i.V.m. 95 Abs. 1 ZPO; GebTRA §§ 2, 6 und 11);-</w:t>
      </w:r>
    </w:p>
    <w:p>
      <w:r>
        <w:t>Kantonsgericht Schwyz 10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